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FE3" w:rsidRDefault="00F71FE3" w:rsidP="00F71FE3">
      <w:pPr>
        <w:rPr>
          <w:color w:val="000000"/>
          <w:sz w:val="30"/>
          <w:szCs w:val="30"/>
        </w:rPr>
      </w:pPr>
      <w:r>
        <w:rPr>
          <w:color w:val="000000"/>
          <w:sz w:val="30"/>
          <w:szCs w:val="30"/>
        </w:rPr>
        <w:t>УКАЗАНИЯ</w:t>
      </w:r>
    </w:p>
    <w:p w:rsidR="00F71FE3" w:rsidRDefault="00F71FE3" w:rsidP="00F71FE3">
      <w:pPr>
        <w:jc w:val="both"/>
        <w:rPr>
          <w:color w:val="000000"/>
          <w:sz w:val="30"/>
          <w:szCs w:val="30"/>
        </w:rPr>
      </w:pPr>
      <w:r>
        <w:rPr>
          <w:color w:val="000000"/>
          <w:sz w:val="30"/>
          <w:szCs w:val="30"/>
        </w:rPr>
        <w:t>по заполнению формы ведомственной отчетности «Сведения о сети и качестве работы почтовой связи»</w:t>
      </w:r>
    </w:p>
    <w:p w:rsidR="00F71FE3" w:rsidRDefault="00F71FE3" w:rsidP="00F71FE3">
      <w:pPr>
        <w:ind w:firstLine="709"/>
        <w:rPr>
          <w:color w:val="000000"/>
          <w:sz w:val="30"/>
          <w:szCs w:val="30"/>
        </w:rPr>
      </w:pPr>
    </w:p>
    <w:p w:rsidR="00F71FE3" w:rsidRDefault="00F71FE3" w:rsidP="00F71FE3">
      <w:pPr>
        <w:ind w:firstLine="709"/>
        <w:jc w:val="both"/>
        <w:rPr>
          <w:color w:val="000000"/>
          <w:sz w:val="30"/>
          <w:szCs w:val="30"/>
        </w:rPr>
      </w:pPr>
      <w:r>
        <w:rPr>
          <w:color w:val="000000"/>
          <w:sz w:val="30"/>
          <w:szCs w:val="30"/>
        </w:rPr>
        <w:t>1. Ведомственную отчетность «Сведения о сети и качестве работы почтовой связи» предоставляют юридические лица, имеющие лицензию на деятельность в области связи по оказанию услуг почтовой связи общего пользования, в адреса и сроки, предусмотренные в адресной части отчетности.</w:t>
      </w:r>
    </w:p>
    <w:p w:rsidR="00F71FE3" w:rsidRDefault="00F71FE3" w:rsidP="00F71FE3">
      <w:pPr>
        <w:ind w:firstLine="709"/>
        <w:jc w:val="both"/>
        <w:rPr>
          <w:color w:val="000000"/>
          <w:sz w:val="30"/>
          <w:szCs w:val="30"/>
        </w:rPr>
      </w:pPr>
      <w:r>
        <w:rPr>
          <w:color w:val="000000"/>
          <w:sz w:val="30"/>
          <w:szCs w:val="30"/>
        </w:rPr>
        <w:t>Отчет юридического лица, имеющего отдельный баланс, должен включать данные по входящим в его структуру подразделениям, не имеющим отдельного баланса.</w:t>
      </w:r>
    </w:p>
    <w:p w:rsidR="00F71FE3" w:rsidRDefault="00F71FE3" w:rsidP="00F71FE3">
      <w:pPr>
        <w:ind w:firstLine="709"/>
        <w:jc w:val="both"/>
        <w:rPr>
          <w:color w:val="000000"/>
          <w:sz w:val="30"/>
          <w:szCs w:val="30"/>
        </w:rPr>
      </w:pPr>
      <w:r>
        <w:rPr>
          <w:color w:val="000000"/>
          <w:sz w:val="30"/>
          <w:szCs w:val="30"/>
        </w:rPr>
        <w:t>2. Данные в рублях заполняются с двумя знаками после запятой.</w:t>
      </w:r>
    </w:p>
    <w:p w:rsidR="00F71FE3" w:rsidRDefault="00F71FE3" w:rsidP="00F71FE3">
      <w:pPr>
        <w:ind w:firstLine="709"/>
        <w:jc w:val="both"/>
        <w:rPr>
          <w:color w:val="000000"/>
          <w:sz w:val="30"/>
          <w:szCs w:val="30"/>
        </w:rPr>
      </w:pPr>
      <w:r>
        <w:rPr>
          <w:color w:val="000000"/>
          <w:sz w:val="30"/>
          <w:szCs w:val="30"/>
        </w:rPr>
        <w:t>3. В таблице 1 раздела I «Количество объектов почтовой связи, предоставляющих услуги» по строке 001 отражаются данные о количестве отделений почтовой связи, включая передвижные отделения почтовой связи, пунктов почтовой связи, бизнес-почт и пунктов почтовой связи по выдаче почтовых отправлений:</w:t>
      </w:r>
    </w:p>
    <w:p w:rsidR="00F71FE3" w:rsidRDefault="00F71FE3" w:rsidP="00F71FE3">
      <w:pPr>
        <w:ind w:firstLine="709"/>
        <w:jc w:val="both"/>
        <w:rPr>
          <w:color w:val="000000"/>
          <w:sz w:val="30"/>
          <w:szCs w:val="30"/>
        </w:rPr>
      </w:pPr>
      <w:r>
        <w:rPr>
          <w:color w:val="000000"/>
          <w:sz w:val="30"/>
          <w:szCs w:val="30"/>
        </w:rPr>
        <w:t>3.1. по строкам 003-009 отражается количество отделений почтовой связи в разрезе областей и г. Минска;</w:t>
      </w:r>
    </w:p>
    <w:p w:rsidR="00F71FE3" w:rsidRDefault="00F71FE3" w:rsidP="00F71FE3">
      <w:pPr>
        <w:ind w:firstLine="709"/>
        <w:jc w:val="both"/>
        <w:rPr>
          <w:color w:val="000000"/>
          <w:sz w:val="30"/>
          <w:szCs w:val="30"/>
        </w:rPr>
      </w:pPr>
      <w:r>
        <w:rPr>
          <w:color w:val="000000"/>
          <w:sz w:val="30"/>
          <w:szCs w:val="30"/>
        </w:rPr>
        <w:t>3.2. по строкам 011-016 – количество отделений почтовой связи, расположенных в сельских населенных пунктах, в разрезе областей;</w:t>
      </w:r>
    </w:p>
    <w:p w:rsidR="00F71FE3" w:rsidRDefault="00F71FE3" w:rsidP="00F71FE3">
      <w:pPr>
        <w:ind w:firstLine="709"/>
        <w:jc w:val="both"/>
        <w:rPr>
          <w:color w:val="000000"/>
          <w:sz w:val="30"/>
          <w:szCs w:val="30"/>
        </w:rPr>
      </w:pPr>
      <w:r>
        <w:rPr>
          <w:color w:val="000000"/>
          <w:sz w:val="30"/>
          <w:szCs w:val="30"/>
        </w:rPr>
        <w:t>3.3. по строкам 018-024 – количество пунктов почтовой связи в разрезе областей и г. Минска;</w:t>
      </w:r>
    </w:p>
    <w:p w:rsidR="00F71FE3" w:rsidRDefault="00F71FE3" w:rsidP="00F71FE3">
      <w:pPr>
        <w:ind w:firstLine="709"/>
        <w:jc w:val="both"/>
        <w:rPr>
          <w:color w:val="000000"/>
          <w:sz w:val="30"/>
          <w:szCs w:val="30"/>
        </w:rPr>
      </w:pPr>
      <w:r>
        <w:rPr>
          <w:color w:val="000000"/>
          <w:sz w:val="30"/>
          <w:szCs w:val="30"/>
        </w:rPr>
        <w:t>3.4. по строкам 026-031 – количество пунктов почтовой связи, расположенных в сельских населенных пунктах, в разрезе областей.</w:t>
      </w:r>
    </w:p>
    <w:p w:rsidR="00F71FE3" w:rsidRDefault="00F71FE3" w:rsidP="00F71FE3">
      <w:pPr>
        <w:ind w:firstLine="709"/>
        <w:jc w:val="both"/>
        <w:rPr>
          <w:color w:val="000000"/>
          <w:sz w:val="30"/>
          <w:szCs w:val="30"/>
        </w:rPr>
      </w:pPr>
      <w:r>
        <w:rPr>
          <w:color w:val="000000"/>
          <w:sz w:val="30"/>
          <w:szCs w:val="30"/>
        </w:rPr>
        <w:t>4. При заполнении таблицы 2 раздела II «Количество технических и иных средств почтовой связи» следует руководствоваться следующим:</w:t>
      </w:r>
    </w:p>
    <w:p w:rsidR="00F71FE3" w:rsidRDefault="00F71FE3" w:rsidP="00F71FE3">
      <w:pPr>
        <w:ind w:firstLine="709"/>
        <w:jc w:val="both"/>
        <w:rPr>
          <w:color w:val="000000"/>
          <w:sz w:val="30"/>
          <w:szCs w:val="30"/>
        </w:rPr>
      </w:pPr>
      <w:r>
        <w:rPr>
          <w:color w:val="000000"/>
          <w:sz w:val="30"/>
          <w:szCs w:val="30"/>
        </w:rPr>
        <w:t>4.1. по строке 035 отражаются данные о количестве почтовых ящиков, установленной формы, размера и цвета, предназначенных для сбора писем и почтовых карточек, находящихся в эксплуатации и размещенных на стенах жилых домов и административных зданий, а также иных местах, удобных для сбора и выемки простых писем и почтовых карточек. По строке 036 отражаются данные о количестве почтовых ящиков, установленных в сельских населенных пунктах;</w:t>
      </w:r>
    </w:p>
    <w:p w:rsidR="00F71FE3" w:rsidRDefault="00F71FE3" w:rsidP="00F71FE3">
      <w:pPr>
        <w:ind w:firstLine="709"/>
        <w:jc w:val="both"/>
        <w:rPr>
          <w:color w:val="000000"/>
          <w:sz w:val="30"/>
          <w:szCs w:val="30"/>
        </w:rPr>
      </w:pPr>
      <w:r>
        <w:rPr>
          <w:color w:val="000000"/>
          <w:sz w:val="30"/>
          <w:szCs w:val="30"/>
        </w:rPr>
        <w:t>4.2. по строкам 037, 038 отражаются данные о количестве технических и иных средств почтовой связи, находящихся как в эксплуатации, так и в резерве, ремонте и на складах. Данные по этим строкам заполняются на основании данных инвентаризации и документов бухгалтерского учета.</w:t>
      </w:r>
    </w:p>
    <w:p w:rsidR="00F71FE3" w:rsidRDefault="00F71FE3" w:rsidP="00F71FE3">
      <w:pPr>
        <w:ind w:firstLine="709"/>
        <w:jc w:val="both"/>
        <w:rPr>
          <w:color w:val="000000"/>
          <w:sz w:val="30"/>
          <w:szCs w:val="30"/>
        </w:rPr>
      </w:pPr>
      <w:r>
        <w:rPr>
          <w:color w:val="000000"/>
          <w:sz w:val="30"/>
          <w:szCs w:val="30"/>
        </w:rPr>
        <w:t xml:space="preserve">5. При заполнении таблицы 3 раздела III «Данные о подвижном составе, используемом для перевозки почтовых отправлений и печатных </w:t>
      </w:r>
      <w:r>
        <w:rPr>
          <w:color w:val="000000"/>
          <w:sz w:val="30"/>
          <w:szCs w:val="30"/>
        </w:rPr>
        <w:lastRenderedPageBreak/>
        <w:t>средств массовой информации» следует руководствоваться следующим:</w:t>
      </w:r>
    </w:p>
    <w:p w:rsidR="00F71FE3" w:rsidRDefault="00F71FE3" w:rsidP="00F71FE3">
      <w:pPr>
        <w:ind w:firstLine="709"/>
        <w:jc w:val="both"/>
        <w:rPr>
          <w:color w:val="000000"/>
          <w:sz w:val="30"/>
          <w:szCs w:val="30"/>
        </w:rPr>
      </w:pPr>
      <w:r>
        <w:rPr>
          <w:color w:val="000000"/>
          <w:sz w:val="30"/>
          <w:szCs w:val="30"/>
        </w:rPr>
        <w:t>по строке с 039 по 041 отражаются данные о количестве автомобильных транспортных средств, используемых для перевозки почтовых отправлений и печатных средств массовой информации, и находящихся на балансе юридических лиц, имеющих лицензию на деятельность в области связи по оказанию услуг почтовой связи общего пользования.</w:t>
      </w:r>
    </w:p>
    <w:p w:rsidR="00F71FE3" w:rsidRDefault="00F71FE3" w:rsidP="00F71FE3">
      <w:pPr>
        <w:ind w:firstLine="709"/>
        <w:jc w:val="both"/>
        <w:rPr>
          <w:color w:val="000000"/>
          <w:sz w:val="30"/>
          <w:szCs w:val="30"/>
        </w:rPr>
      </w:pPr>
      <w:r>
        <w:rPr>
          <w:color w:val="000000"/>
          <w:sz w:val="30"/>
          <w:szCs w:val="30"/>
        </w:rPr>
        <w:t>6. При заполнении таблицы 4 раздела IV «Численность работников» по строкам с 042 по 047 раздела заполняются данные на основании личных листков по учету кадров. Почтальоны, работающие неполный рабочий день, учитываются как целые единицы. Порядок отражения данных о списочной численности изложен в пунктах 3-12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 января 2020 г. № 1.</w:t>
      </w:r>
    </w:p>
    <w:p w:rsidR="00F71FE3" w:rsidRDefault="00F71FE3" w:rsidP="00F71FE3">
      <w:pPr>
        <w:ind w:firstLine="709"/>
        <w:jc w:val="both"/>
        <w:rPr>
          <w:color w:val="000000"/>
          <w:sz w:val="30"/>
          <w:szCs w:val="30"/>
        </w:rPr>
      </w:pPr>
      <w:r>
        <w:rPr>
          <w:color w:val="000000"/>
          <w:sz w:val="30"/>
          <w:szCs w:val="30"/>
        </w:rPr>
        <w:t>7. При заполнении таблицы 5 раздела V «Сохранность почтовых отправлений»:</w:t>
      </w:r>
    </w:p>
    <w:p w:rsidR="00F71FE3" w:rsidRDefault="00F71FE3" w:rsidP="00F71FE3">
      <w:pPr>
        <w:ind w:firstLine="709"/>
        <w:jc w:val="both"/>
        <w:rPr>
          <w:color w:val="000000"/>
          <w:sz w:val="30"/>
          <w:szCs w:val="30"/>
        </w:rPr>
      </w:pPr>
      <w:r>
        <w:rPr>
          <w:color w:val="000000"/>
          <w:sz w:val="30"/>
          <w:szCs w:val="30"/>
        </w:rPr>
        <w:t>7.1. по строкам 048, 049 отражаются данные о количестве и сумме выявленных утрат и хищений, произошедших у юридических лиц, имеющих лицензию на деятельность в области связи по оказанию услуг почтовой связи общего пользования, при перевозке, а также в результате грабежей, краж, разбоев, в связи с пожарами и прочими стихийными бедствиями при пересылке (доставке) следующих почтовых отправлений: заказных отправлений письменной корреспонденции; заказных уведомлений о получении; отправлений письменной корреспонденции с объявленной ценностью; посылок (с объявленной ценностью и без объявленной ценности); внутренних и международных отправлений ускоренной почты; отслеживаемых отправлений.</w:t>
      </w:r>
    </w:p>
    <w:p w:rsidR="00F71FE3" w:rsidRDefault="00F71FE3" w:rsidP="00F71FE3">
      <w:pPr>
        <w:ind w:firstLine="709"/>
        <w:jc w:val="both"/>
        <w:rPr>
          <w:color w:val="000000"/>
          <w:sz w:val="30"/>
          <w:szCs w:val="30"/>
        </w:rPr>
      </w:pPr>
      <w:r>
        <w:rPr>
          <w:color w:val="000000"/>
          <w:sz w:val="30"/>
          <w:szCs w:val="30"/>
        </w:rPr>
        <w:t>В случае утраты и хищения закрытой почтовой вещи (мешка и прочего) должно быть учтено количество почтовых отправлений, находившихся в закрытой почтовой вещи;</w:t>
      </w:r>
    </w:p>
    <w:p w:rsidR="00F71FE3" w:rsidRDefault="00F71FE3" w:rsidP="00F71FE3">
      <w:pPr>
        <w:ind w:firstLine="709"/>
        <w:jc w:val="both"/>
        <w:rPr>
          <w:color w:val="000000"/>
          <w:sz w:val="30"/>
          <w:szCs w:val="30"/>
        </w:rPr>
      </w:pPr>
      <w:r>
        <w:rPr>
          <w:color w:val="000000"/>
          <w:sz w:val="30"/>
          <w:szCs w:val="30"/>
        </w:rPr>
        <w:t>7.2. по строкам 050, 051 отражаются данные о количестве и сумме утрат и хищений почтовых отправлений, возникших по вине работников юридических лиц, имеющих лицензию на деятельность в области связи по оказанию услуг почтовой связи общего пользования;</w:t>
      </w:r>
    </w:p>
    <w:p w:rsidR="00F71FE3" w:rsidRDefault="00F71FE3" w:rsidP="00F71FE3">
      <w:pPr>
        <w:ind w:firstLine="709"/>
        <w:jc w:val="both"/>
        <w:rPr>
          <w:color w:val="000000"/>
          <w:sz w:val="30"/>
          <w:szCs w:val="30"/>
        </w:rPr>
      </w:pPr>
      <w:r>
        <w:rPr>
          <w:color w:val="000000"/>
          <w:sz w:val="30"/>
          <w:szCs w:val="30"/>
        </w:rPr>
        <w:t xml:space="preserve">7.3. по строке 052 отражаются данные о количестве недостач и хищений части вложения почтовых отправлений, по строке </w:t>
      </w:r>
      <w:r>
        <w:rPr>
          <w:color w:val="000000"/>
          <w:sz w:val="30"/>
          <w:szCs w:val="30"/>
        </w:rPr>
        <w:br/>
        <w:t>053 – данные о количестве недостач и хищений части вложения почтовых отправлений, возникших по вине работников юридических лиц, имеющих лицензию на деятельность в области связи по оказанию услуг почтовой связи общего пользования;</w:t>
      </w:r>
    </w:p>
    <w:p w:rsidR="00F71FE3" w:rsidRDefault="00F71FE3" w:rsidP="00F71FE3">
      <w:pPr>
        <w:ind w:firstLine="709"/>
        <w:jc w:val="both"/>
        <w:rPr>
          <w:color w:val="000000"/>
          <w:sz w:val="30"/>
          <w:szCs w:val="30"/>
        </w:rPr>
      </w:pPr>
      <w:r>
        <w:rPr>
          <w:color w:val="000000"/>
          <w:sz w:val="30"/>
          <w:szCs w:val="30"/>
        </w:rPr>
        <w:t xml:space="preserve">7.4. по строке 054 отражаются данные о сумме, выплаченной </w:t>
      </w:r>
      <w:r>
        <w:rPr>
          <w:color w:val="000000"/>
          <w:sz w:val="30"/>
          <w:szCs w:val="30"/>
        </w:rPr>
        <w:lastRenderedPageBreak/>
        <w:t>отправителям (адресатам) за недостающую, похищенную часть вложения почтовых отправлений, по строке 055 – данные о сумме, выплаченной отправителям (адресатам) за недостающую, похищенную часть вложения почтовых отправлений по вине работников юридических лиц, имеющих лицензию на деятельность в области связи по оказанию услуг почтовой связи общего пользования;</w:t>
      </w:r>
    </w:p>
    <w:p w:rsidR="00F71FE3" w:rsidRDefault="00F71FE3" w:rsidP="00F71FE3">
      <w:pPr>
        <w:ind w:firstLine="709"/>
        <w:jc w:val="both"/>
        <w:rPr>
          <w:color w:val="000000"/>
          <w:sz w:val="30"/>
          <w:szCs w:val="30"/>
        </w:rPr>
      </w:pPr>
      <w:r>
        <w:rPr>
          <w:color w:val="000000"/>
          <w:sz w:val="30"/>
          <w:szCs w:val="30"/>
        </w:rPr>
        <w:t>7.5. количество и сумма утраченных и похищенных почтовых отправлений, недостающих и похищенных частей вложений почтовых отправлений в показателях по строкам с 048 по 055 отражаются в размерах, установленных при их выявлении, независимо от того, найдено ли утраченное (похищенное) почтовое отправление, недостающая (похищенная) часть вложения почтового отправления и закончено ли расследование.</w:t>
      </w:r>
    </w:p>
    <w:p w:rsidR="00F71FE3" w:rsidRDefault="00F71FE3" w:rsidP="00F71FE3">
      <w:pPr>
        <w:ind w:firstLine="709"/>
        <w:jc w:val="both"/>
        <w:rPr>
          <w:color w:val="000000"/>
          <w:sz w:val="30"/>
          <w:szCs w:val="30"/>
        </w:rPr>
      </w:pPr>
      <w:r>
        <w:rPr>
          <w:color w:val="000000"/>
          <w:sz w:val="30"/>
          <w:szCs w:val="30"/>
        </w:rPr>
        <w:t>8. Данные по строкам с 056 по 059 таблицы 6 раздела VI «Выполнение сроков пересылки почтовых отправлений» заполняются на основании результатов проверок выполнения сроков пересылки почтовых отправлений, проводимых ежеквартально. Методику проведения проверок сроков пересылки почтовых отправлений определяют юридические лица, имеющие лицензию на деятельность в области связи по оказанию услуг почтовой связи общего пользования. Согласно пунктам 125 и 132 Правил оказания услуг почтовой связи общего пользования, утвержденных постановлением Совета Министров Республики Беларусь от 22 октября 2025 г. № 575, сроки пересылки должны выдерживаться для 95 процентов пересылаемых почтовых отправлений.</w:t>
      </w:r>
    </w:p>
    <w:p w:rsidR="00F71FE3" w:rsidRDefault="00F71FE3" w:rsidP="00F71FE3">
      <w:pPr>
        <w:ind w:firstLine="709"/>
        <w:jc w:val="both"/>
        <w:rPr>
          <w:color w:val="000000"/>
          <w:sz w:val="30"/>
          <w:szCs w:val="30"/>
        </w:rPr>
      </w:pPr>
      <w:r>
        <w:rPr>
          <w:color w:val="000000"/>
          <w:sz w:val="30"/>
          <w:szCs w:val="30"/>
        </w:rPr>
        <w:t>9. При заполнении таблицы 7 раздела VII «Данные о почтовых денежных переводах» строка 068 рассчитывается путем деления строки 067 на 060.</w:t>
      </w:r>
    </w:p>
    <w:p w:rsidR="00F71FE3" w:rsidRDefault="00F71FE3" w:rsidP="00F71FE3">
      <w:pPr>
        <w:ind w:firstLine="709"/>
        <w:jc w:val="both"/>
        <w:rPr>
          <w:color w:val="000000"/>
          <w:sz w:val="30"/>
          <w:szCs w:val="30"/>
        </w:rPr>
      </w:pPr>
      <w:r>
        <w:rPr>
          <w:color w:val="000000"/>
          <w:sz w:val="30"/>
          <w:szCs w:val="30"/>
        </w:rPr>
        <w:t>10. К ведомственной отчетности прилагается пояснительная записка, содержащая информацию, отражающую причины изменения показателей, предусмотренных в разделах I-VI</w:t>
      </w:r>
      <w:r>
        <w:rPr>
          <w:color w:val="000000"/>
          <w:sz w:val="30"/>
          <w:szCs w:val="30"/>
          <w:lang w:val="en-US"/>
        </w:rPr>
        <w:t>I</w:t>
      </w:r>
      <w:r>
        <w:rPr>
          <w:color w:val="000000"/>
          <w:sz w:val="30"/>
          <w:szCs w:val="30"/>
        </w:rPr>
        <w:t>.</w:t>
      </w:r>
    </w:p>
    <w:p w:rsidR="003037D6" w:rsidRPr="00F71FE3" w:rsidRDefault="003037D6" w:rsidP="00F71FE3">
      <w:bookmarkStart w:id="0" w:name="_GoBack"/>
      <w:bookmarkEnd w:id="0"/>
    </w:p>
    <w:sectPr w:rsidR="003037D6" w:rsidRPr="00F71FE3">
      <w:headerReference w:type="even" r:id="rId7"/>
      <w:pgSz w:w="11907" w:h="16840"/>
      <w:pgMar w:top="1134" w:right="567"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97A" w:rsidRDefault="0088397A">
      <w:r>
        <w:separator/>
      </w:r>
    </w:p>
  </w:endnote>
  <w:endnote w:type="continuationSeparator" w:id="0">
    <w:p w:rsidR="0088397A" w:rsidRDefault="0088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97A" w:rsidRDefault="0088397A">
      <w:r>
        <w:separator/>
      </w:r>
    </w:p>
  </w:footnote>
  <w:footnote w:type="continuationSeparator" w:id="0">
    <w:p w:rsidR="0088397A" w:rsidRDefault="00883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7D6" w:rsidRDefault="001608C4">
    <w:pPr>
      <w:pStyle w:val="af0"/>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037D6" w:rsidRDefault="003037D6">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D6"/>
    <w:rsid w:val="00045E75"/>
    <w:rsid w:val="00056793"/>
    <w:rsid w:val="000D7DD3"/>
    <w:rsid w:val="001608C4"/>
    <w:rsid w:val="001C507A"/>
    <w:rsid w:val="003037D6"/>
    <w:rsid w:val="004279AD"/>
    <w:rsid w:val="00512F97"/>
    <w:rsid w:val="00542D60"/>
    <w:rsid w:val="005842E7"/>
    <w:rsid w:val="007B7E90"/>
    <w:rsid w:val="00806F7F"/>
    <w:rsid w:val="0088397A"/>
    <w:rsid w:val="00BC6E30"/>
    <w:rsid w:val="00CC3E34"/>
    <w:rsid w:val="00D24C84"/>
    <w:rsid w:val="00E04E0C"/>
    <w:rsid w:val="00F7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A788A4"/>
  <w15:docId w15:val="{6FF8C4A8-D45F-46BF-A2ED-7ADCB3EE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header" w:uiPriority="99"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unhideWhenUsed="1" w:qFormat="1"/>
    <w:lsdException w:name="Subtitle" w:qFormat="1"/>
    <w:lsdException w:name="Body Text 2" w:unhideWhenUsed="1"/>
    <w:lsdException w:name="Body Text 3" w:unhideWhenUsed="1" w:qFormat="1"/>
    <w:lsdException w:name="Body Text Indent 2" w:qFormat="1"/>
    <w:lsdException w:name="Body Text Indent 3" w:unhideWhenUsed="1" w:qFormat="1"/>
    <w:lsdException w:name="Block Text" w:unhideWhenUsed="1" w:qFormat="1"/>
    <w:lsdException w:name="Hyperlink"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pPr>
      <w:keepNext/>
      <w:widowControl/>
      <w:autoSpaceDE/>
      <w:autoSpaceDN/>
      <w:adjustRightInd/>
      <w:jc w:val="center"/>
      <w:outlineLvl w:val="0"/>
    </w:pPr>
    <w:rPr>
      <w:b/>
      <w:bCs/>
      <w:sz w:val="24"/>
      <w:szCs w:val="24"/>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semiHidden/>
    <w:unhideWhenUsed/>
    <w:qFormat/>
    <w:pPr>
      <w:keepNext/>
      <w:widowControl/>
      <w:autoSpaceDE/>
      <w:autoSpaceDN/>
      <w:adjustRightInd/>
      <w:spacing w:before="240" w:after="60"/>
      <w:outlineLvl w:val="3"/>
    </w:pPr>
    <w:rPr>
      <w:b/>
      <w:bCs/>
      <w:sz w:val="28"/>
      <w:szCs w:val="28"/>
    </w:rPr>
  </w:style>
  <w:style w:type="paragraph" w:styleId="5">
    <w:name w:val="heading 5"/>
    <w:basedOn w:val="a"/>
    <w:next w:val="a"/>
    <w:link w:val="50"/>
    <w:semiHidden/>
    <w:unhideWhenUsed/>
    <w:qFormat/>
    <w:pPr>
      <w:widowControl/>
      <w:autoSpaceDE/>
      <w:autoSpaceDN/>
      <w:adjustRightInd/>
      <w:spacing w:before="240" w:after="60"/>
      <w:outlineLvl w:val="4"/>
    </w:pPr>
    <w:rPr>
      <w:b/>
      <w:bCs/>
      <w:i/>
      <w:iCs/>
      <w:sz w:val="26"/>
      <w:szCs w:val="26"/>
    </w:rPr>
  </w:style>
  <w:style w:type="paragraph" w:styleId="7">
    <w:name w:val="heading 7"/>
    <w:basedOn w:val="a"/>
    <w:next w:val="a"/>
    <w:link w:val="70"/>
    <w:semiHidden/>
    <w:unhideWhenUsed/>
    <w:qFormat/>
    <w:pPr>
      <w:widowControl/>
      <w:autoSpaceDE/>
      <w:autoSpaceDN/>
      <w:adjustRightInd/>
      <w:spacing w:before="240" w:after="60"/>
      <w:outlineLvl w:val="6"/>
    </w:pPr>
    <w:rPr>
      <w:sz w:val="24"/>
      <w:szCs w:val="24"/>
    </w:rPr>
  </w:style>
  <w:style w:type="paragraph" w:styleId="8">
    <w:name w:val="heading 8"/>
    <w:basedOn w:val="a"/>
    <w:next w:val="a"/>
    <w:link w:val="80"/>
    <w:semiHidden/>
    <w:unhideWhenUsed/>
    <w:qFormat/>
    <w:pPr>
      <w:widowControl/>
      <w:autoSpaceDE/>
      <w:autoSpaceDN/>
      <w:adjustRightInd/>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Pr>
      <w:color w:val="800080"/>
      <w:u w:val="single"/>
    </w:rPr>
  </w:style>
  <w:style w:type="character" w:styleId="a4">
    <w:name w:val="annotation reference"/>
    <w:basedOn w:val="a0"/>
    <w:qFormat/>
    <w:rPr>
      <w:sz w:val="16"/>
      <w:szCs w:val="16"/>
    </w:rPr>
  </w:style>
  <w:style w:type="character" w:styleId="a5">
    <w:name w:val="Hyperlink"/>
    <w:qFormat/>
    <w:rPr>
      <w:color w:val="0000FF"/>
      <w:u w:val="single"/>
    </w:rPr>
  </w:style>
  <w:style w:type="character" w:styleId="a6">
    <w:name w:val="page number"/>
    <w:basedOn w:val="a0"/>
    <w:qFormat/>
  </w:style>
  <w:style w:type="character" w:styleId="a7">
    <w:name w:val="Strong"/>
    <w:qFormat/>
    <w:rPr>
      <w:b/>
      <w:bCs/>
    </w:rPr>
  </w:style>
  <w:style w:type="paragraph" w:styleId="a8">
    <w:name w:val="Balloon Text"/>
    <w:basedOn w:val="a"/>
    <w:link w:val="a9"/>
    <w:semiHidden/>
    <w:qFormat/>
    <w:rPr>
      <w:rFonts w:ascii="Tahoma" w:hAnsi="Tahoma" w:cs="Tahoma"/>
      <w:sz w:val="16"/>
      <w:szCs w:val="16"/>
    </w:rPr>
  </w:style>
  <w:style w:type="paragraph" w:styleId="21">
    <w:name w:val="Body Text 2"/>
    <w:basedOn w:val="a"/>
    <w:link w:val="22"/>
    <w:unhideWhenUsed/>
    <w:pPr>
      <w:widowControl/>
      <w:autoSpaceDE/>
      <w:autoSpaceDN/>
      <w:adjustRightInd/>
      <w:jc w:val="both"/>
    </w:pPr>
    <w:rPr>
      <w:b/>
      <w:bCs/>
      <w:sz w:val="24"/>
    </w:rPr>
  </w:style>
  <w:style w:type="paragraph" w:styleId="31">
    <w:name w:val="Body Text Indent 3"/>
    <w:basedOn w:val="a"/>
    <w:link w:val="32"/>
    <w:unhideWhenUsed/>
    <w:qFormat/>
    <w:pPr>
      <w:widowControl/>
      <w:autoSpaceDE/>
      <w:autoSpaceDN/>
      <w:adjustRightInd/>
      <w:spacing w:before="120"/>
      <w:ind w:firstLine="709"/>
      <w:jc w:val="both"/>
    </w:pPr>
    <w:rPr>
      <w:sz w:val="30"/>
      <w:szCs w:val="24"/>
    </w:rPr>
  </w:style>
  <w:style w:type="paragraph" w:styleId="aa">
    <w:name w:val="annotation text"/>
    <w:basedOn w:val="a"/>
    <w:link w:val="ab"/>
  </w:style>
  <w:style w:type="paragraph" w:styleId="ac">
    <w:name w:val="annotation subject"/>
    <w:basedOn w:val="aa"/>
    <w:next w:val="aa"/>
    <w:link w:val="ad"/>
    <w:qFormat/>
    <w:rPr>
      <w:b/>
      <w:bCs/>
    </w:rPr>
  </w:style>
  <w:style w:type="paragraph" w:styleId="ae">
    <w:name w:val="footnote text"/>
    <w:basedOn w:val="a"/>
    <w:link w:val="af"/>
    <w:unhideWhenUsed/>
    <w:qFormat/>
    <w:pPr>
      <w:widowControl/>
      <w:autoSpaceDE/>
      <w:autoSpaceDN/>
      <w:adjustRightInd/>
    </w:pPr>
  </w:style>
  <w:style w:type="paragraph" w:styleId="af0">
    <w:name w:val="header"/>
    <w:basedOn w:val="a"/>
    <w:link w:val="af1"/>
    <w:uiPriority w:val="99"/>
    <w:qFormat/>
    <w:pPr>
      <w:widowControl/>
      <w:tabs>
        <w:tab w:val="center" w:pos="4153"/>
        <w:tab w:val="right" w:pos="8306"/>
      </w:tabs>
      <w:autoSpaceDE/>
      <w:autoSpaceDN/>
      <w:adjustRightInd/>
    </w:pPr>
    <w:rPr>
      <w:sz w:val="24"/>
    </w:rPr>
  </w:style>
  <w:style w:type="paragraph" w:styleId="af2">
    <w:name w:val="Body Text"/>
    <w:basedOn w:val="a"/>
    <w:link w:val="af3"/>
    <w:qFormat/>
    <w:pPr>
      <w:widowControl/>
      <w:tabs>
        <w:tab w:val="center" w:pos="1746"/>
        <w:tab w:val="left" w:pos="2128"/>
        <w:tab w:val="left" w:pos="3222"/>
      </w:tabs>
      <w:autoSpaceDE/>
      <w:autoSpaceDN/>
      <w:adjustRightInd/>
    </w:pPr>
    <w:rPr>
      <w:sz w:val="26"/>
      <w:szCs w:val="24"/>
      <w:lang w:eastAsia="en-US"/>
    </w:rPr>
  </w:style>
  <w:style w:type="paragraph" w:styleId="af4">
    <w:name w:val="Body Text Indent"/>
    <w:basedOn w:val="a"/>
    <w:link w:val="af5"/>
    <w:unhideWhenUsed/>
    <w:qFormat/>
    <w:pPr>
      <w:widowControl/>
      <w:autoSpaceDE/>
      <w:autoSpaceDN/>
      <w:adjustRightInd/>
      <w:spacing w:after="120"/>
      <w:ind w:left="283"/>
      <w:jc w:val="both"/>
    </w:pPr>
    <w:rPr>
      <w:sz w:val="28"/>
    </w:rPr>
  </w:style>
  <w:style w:type="paragraph" w:styleId="af6">
    <w:name w:val="footer"/>
    <w:basedOn w:val="a"/>
    <w:link w:val="af7"/>
    <w:qFormat/>
    <w:pPr>
      <w:tabs>
        <w:tab w:val="center" w:pos="4677"/>
        <w:tab w:val="right" w:pos="9355"/>
      </w:tabs>
    </w:pPr>
  </w:style>
  <w:style w:type="paragraph" w:styleId="af8">
    <w:name w:val="Normal (Web)"/>
    <w:basedOn w:val="a"/>
    <w:uiPriority w:val="99"/>
    <w:unhideWhenUsed/>
    <w:qFormat/>
    <w:pPr>
      <w:widowControl/>
      <w:autoSpaceDE/>
      <w:autoSpaceDN/>
      <w:adjustRightInd/>
      <w:spacing w:before="100" w:beforeAutospacing="1" w:after="100" w:afterAutospacing="1"/>
    </w:pPr>
    <w:rPr>
      <w:sz w:val="24"/>
      <w:szCs w:val="24"/>
    </w:rPr>
  </w:style>
  <w:style w:type="paragraph" w:styleId="33">
    <w:name w:val="Body Text 3"/>
    <w:basedOn w:val="a"/>
    <w:link w:val="34"/>
    <w:unhideWhenUsed/>
    <w:qFormat/>
    <w:pPr>
      <w:widowControl/>
      <w:autoSpaceDE/>
      <w:autoSpaceDN/>
      <w:adjustRightInd/>
      <w:spacing w:after="120"/>
    </w:pPr>
    <w:rPr>
      <w:sz w:val="16"/>
      <w:szCs w:val="16"/>
    </w:rPr>
  </w:style>
  <w:style w:type="paragraph" w:styleId="23">
    <w:name w:val="Body Text Indent 2"/>
    <w:basedOn w:val="a"/>
    <w:link w:val="24"/>
    <w:qFormat/>
    <w:pPr>
      <w:spacing w:after="120" w:line="480" w:lineRule="auto"/>
      <w:ind w:left="283"/>
    </w:pPr>
  </w:style>
  <w:style w:type="paragraph" w:styleId="af9">
    <w:name w:val="Block Text"/>
    <w:basedOn w:val="a"/>
    <w:unhideWhenUsed/>
    <w:qFormat/>
    <w:pPr>
      <w:widowControl/>
      <w:autoSpaceDE/>
      <w:autoSpaceDN/>
      <w:adjustRightInd/>
      <w:ind w:left="5400" w:right="-338" w:hanging="13"/>
    </w:pPr>
    <w:rPr>
      <w:sz w:val="30"/>
    </w:rPr>
  </w:style>
  <w:style w:type="table" w:styleId="afa">
    <w:name w:val="Table Grid"/>
    <w:basedOn w:val="a1"/>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locked/>
    <w:rPr>
      <w:b/>
      <w:bCs/>
      <w:sz w:val="24"/>
      <w:szCs w:val="24"/>
      <w:lang w:val="ru-RU" w:eastAsia="ru-RU" w:bidi="ar-SA"/>
    </w:rPr>
  </w:style>
  <w:style w:type="paragraph" w:customStyle="1" w:styleId="ConsPlusNonformat">
    <w:name w:val="ConsPlusNonformat"/>
    <w:qFormat/>
    <w:pPr>
      <w:autoSpaceDE w:val="0"/>
      <w:autoSpaceDN w:val="0"/>
      <w:adjustRightInd w:val="0"/>
    </w:pPr>
    <w:rPr>
      <w:rFonts w:ascii="Courier New" w:hAnsi="Courier New" w:cs="Courier New"/>
    </w:rPr>
  </w:style>
  <w:style w:type="character" w:customStyle="1" w:styleId="afb">
    <w:name w:val="Знак Знак"/>
    <w:qFormat/>
    <w:locked/>
    <w:rPr>
      <w:b/>
      <w:bCs/>
      <w:sz w:val="24"/>
      <w:szCs w:val="24"/>
      <w:lang w:val="ru-RU" w:eastAsia="ru-RU" w:bidi="ar-SA"/>
    </w:rPr>
  </w:style>
  <w:style w:type="character" w:customStyle="1" w:styleId="af7">
    <w:name w:val="Нижний колонтитул Знак"/>
    <w:basedOn w:val="a0"/>
    <w:link w:val="af6"/>
    <w:qFormat/>
  </w:style>
  <w:style w:type="character" w:customStyle="1" w:styleId="81">
    <w:name w:val="Знак Знак8"/>
    <w:qFormat/>
    <w:rPr>
      <w:b/>
      <w:bCs/>
      <w:sz w:val="24"/>
      <w:szCs w:val="24"/>
      <w:lang w:eastAsia="en-US"/>
    </w:rPr>
  </w:style>
  <w:style w:type="character" w:customStyle="1" w:styleId="af3">
    <w:name w:val="Основной текст Знак"/>
    <w:link w:val="af2"/>
    <w:qFormat/>
    <w:rPr>
      <w:sz w:val="26"/>
      <w:szCs w:val="24"/>
      <w:lang w:val="ru-RU" w:eastAsia="en-US" w:bidi="ar-SA"/>
    </w:rPr>
  </w:style>
  <w:style w:type="paragraph" w:customStyle="1" w:styleId="Arial">
    <w:name w:val="Обычный + Arial"/>
    <w:basedOn w:val="a"/>
    <w:qFormat/>
    <w:pPr>
      <w:widowControl/>
    </w:pPr>
    <w:rPr>
      <w:rFonts w:ascii="Arial" w:hAnsi="Arial" w:cs="Arial"/>
      <w:sz w:val="24"/>
      <w:szCs w:val="24"/>
    </w:rPr>
  </w:style>
  <w:style w:type="paragraph" w:customStyle="1" w:styleId="table10">
    <w:name w:val="table10"/>
    <w:basedOn w:val="a"/>
    <w:qFormat/>
    <w:pPr>
      <w:widowControl/>
      <w:autoSpaceDE/>
      <w:autoSpaceDN/>
      <w:adjustRightInd/>
    </w:pPr>
  </w:style>
  <w:style w:type="paragraph" w:customStyle="1" w:styleId="titleu">
    <w:name w:val="titleu"/>
    <w:basedOn w:val="a"/>
    <w:qFormat/>
    <w:pPr>
      <w:widowControl/>
      <w:autoSpaceDE/>
      <w:autoSpaceDN/>
      <w:adjustRightInd/>
      <w:spacing w:before="240" w:after="240"/>
    </w:pPr>
    <w:rPr>
      <w:b/>
      <w:bCs/>
      <w:sz w:val="24"/>
      <w:szCs w:val="24"/>
    </w:rPr>
  </w:style>
  <w:style w:type="paragraph" w:customStyle="1" w:styleId="ConsPlusNormal">
    <w:name w:val="ConsPlusNormal"/>
    <w:qFormat/>
    <w:pPr>
      <w:widowControl w:val="0"/>
      <w:autoSpaceDE w:val="0"/>
      <w:autoSpaceDN w:val="0"/>
    </w:pPr>
    <w:rPr>
      <w:sz w:val="24"/>
    </w:rPr>
  </w:style>
  <w:style w:type="paragraph" w:customStyle="1" w:styleId="ConsPlusTitle">
    <w:name w:val="ConsPlusTitle"/>
    <w:qFormat/>
    <w:pPr>
      <w:widowControl w:val="0"/>
      <w:autoSpaceDE w:val="0"/>
      <w:autoSpaceDN w:val="0"/>
    </w:pPr>
    <w:rPr>
      <w:b/>
      <w:sz w:val="24"/>
    </w:rPr>
  </w:style>
  <w:style w:type="character" w:customStyle="1" w:styleId="40">
    <w:name w:val="Заголовок 4 Знак"/>
    <w:link w:val="4"/>
    <w:semiHidden/>
    <w:qFormat/>
    <w:rPr>
      <w:b/>
      <w:bCs/>
      <w:sz w:val="28"/>
      <w:szCs w:val="28"/>
      <w:lang w:val="ru-RU" w:eastAsia="ru-RU"/>
    </w:rPr>
  </w:style>
  <w:style w:type="character" w:customStyle="1" w:styleId="50">
    <w:name w:val="Заголовок 5 Знак"/>
    <w:link w:val="5"/>
    <w:semiHidden/>
    <w:qFormat/>
    <w:rPr>
      <w:b/>
      <w:bCs/>
      <w:i/>
      <w:iCs/>
      <w:sz w:val="26"/>
      <w:szCs w:val="26"/>
      <w:lang w:val="ru-RU" w:eastAsia="ru-RU"/>
    </w:rPr>
  </w:style>
  <w:style w:type="character" w:customStyle="1" w:styleId="70">
    <w:name w:val="Заголовок 7 Знак"/>
    <w:link w:val="7"/>
    <w:semiHidden/>
    <w:qFormat/>
    <w:rPr>
      <w:sz w:val="24"/>
      <w:szCs w:val="24"/>
      <w:lang w:val="ru-RU" w:eastAsia="ru-RU"/>
    </w:rPr>
  </w:style>
  <w:style w:type="character" w:customStyle="1" w:styleId="80">
    <w:name w:val="Заголовок 8 Знак"/>
    <w:link w:val="8"/>
    <w:semiHidden/>
    <w:qFormat/>
    <w:rPr>
      <w:i/>
      <w:iCs/>
      <w:sz w:val="24"/>
      <w:szCs w:val="24"/>
      <w:lang w:val="ru-RU" w:eastAsia="ru-RU"/>
    </w:rPr>
  </w:style>
  <w:style w:type="character" w:customStyle="1" w:styleId="20">
    <w:name w:val="Заголовок 2 Знак"/>
    <w:link w:val="2"/>
    <w:qFormat/>
    <w:rPr>
      <w:rFonts w:ascii="Arial" w:hAnsi="Arial" w:cs="Arial"/>
      <w:b/>
      <w:bCs/>
      <w:i/>
      <w:iCs/>
      <w:sz w:val="28"/>
      <w:szCs w:val="28"/>
      <w:lang w:val="ru-RU" w:eastAsia="ru-RU"/>
    </w:rPr>
  </w:style>
  <w:style w:type="character" w:customStyle="1" w:styleId="30">
    <w:name w:val="Заголовок 3 Знак"/>
    <w:link w:val="3"/>
    <w:qFormat/>
    <w:rPr>
      <w:rFonts w:ascii="Arial" w:hAnsi="Arial" w:cs="Arial"/>
      <w:b/>
      <w:bCs/>
      <w:sz w:val="26"/>
      <w:szCs w:val="26"/>
      <w:lang w:val="ru-RU" w:eastAsia="ru-RU"/>
    </w:rPr>
  </w:style>
  <w:style w:type="character" w:customStyle="1" w:styleId="af">
    <w:name w:val="Текст сноски Знак"/>
    <w:link w:val="ae"/>
    <w:qFormat/>
    <w:rPr>
      <w:lang w:val="ru-RU" w:eastAsia="ru-RU"/>
    </w:rPr>
  </w:style>
  <w:style w:type="character" w:customStyle="1" w:styleId="af1">
    <w:name w:val="Верхний колонтитул Знак"/>
    <w:link w:val="af0"/>
    <w:uiPriority w:val="99"/>
    <w:qFormat/>
    <w:rPr>
      <w:sz w:val="24"/>
      <w:lang w:val="ru-RU" w:eastAsia="ru-RU"/>
    </w:rPr>
  </w:style>
  <w:style w:type="character" w:customStyle="1" w:styleId="af5">
    <w:name w:val="Основной текст с отступом Знак"/>
    <w:link w:val="af4"/>
    <w:qFormat/>
    <w:rPr>
      <w:sz w:val="28"/>
      <w:lang w:val="ru-RU" w:eastAsia="ru-RU"/>
    </w:rPr>
  </w:style>
  <w:style w:type="character" w:customStyle="1" w:styleId="22">
    <w:name w:val="Основной текст 2 Знак"/>
    <w:link w:val="21"/>
    <w:qFormat/>
    <w:rPr>
      <w:b/>
      <w:bCs/>
      <w:sz w:val="24"/>
      <w:lang w:val="ru-RU" w:eastAsia="ru-RU"/>
    </w:rPr>
  </w:style>
  <w:style w:type="character" w:customStyle="1" w:styleId="34">
    <w:name w:val="Основной текст 3 Знак"/>
    <w:link w:val="33"/>
    <w:qFormat/>
    <w:rPr>
      <w:sz w:val="16"/>
      <w:szCs w:val="16"/>
      <w:lang w:val="ru-RU" w:eastAsia="ru-RU"/>
    </w:rPr>
  </w:style>
  <w:style w:type="character" w:customStyle="1" w:styleId="24">
    <w:name w:val="Основной текст с отступом 2 Знак"/>
    <w:link w:val="23"/>
    <w:qFormat/>
    <w:rPr>
      <w:lang w:val="ru-RU" w:eastAsia="ru-RU"/>
    </w:rPr>
  </w:style>
  <w:style w:type="character" w:customStyle="1" w:styleId="32">
    <w:name w:val="Основной текст с отступом 3 Знак"/>
    <w:link w:val="31"/>
    <w:qFormat/>
    <w:rPr>
      <w:sz w:val="30"/>
      <w:szCs w:val="24"/>
      <w:lang w:val="ru-RU" w:eastAsia="ru-RU"/>
    </w:rPr>
  </w:style>
  <w:style w:type="character" w:customStyle="1" w:styleId="a9">
    <w:name w:val="Текст выноски Знак"/>
    <w:link w:val="a8"/>
    <w:semiHidden/>
    <w:qFormat/>
    <w:rPr>
      <w:rFonts w:ascii="Tahoma" w:hAnsi="Tahoma" w:cs="Tahoma"/>
      <w:sz w:val="16"/>
      <w:szCs w:val="16"/>
      <w:lang w:val="ru-RU" w:eastAsia="ru-RU"/>
    </w:rPr>
  </w:style>
  <w:style w:type="paragraph" w:customStyle="1" w:styleId="ConsPlusCell">
    <w:name w:val="ConsPlusCell"/>
    <w:qFormat/>
    <w:pPr>
      <w:widowControl w:val="0"/>
      <w:autoSpaceDE w:val="0"/>
      <w:autoSpaceDN w:val="0"/>
      <w:adjustRightInd w:val="0"/>
    </w:pPr>
    <w:rPr>
      <w:sz w:val="24"/>
      <w:szCs w:val="24"/>
    </w:rPr>
  </w:style>
  <w:style w:type="paragraph" w:customStyle="1" w:styleId="11">
    <w:name w:val="Обычный1"/>
    <w:qFormat/>
    <w:pPr>
      <w:widowControl w:val="0"/>
      <w:snapToGrid w:val="0"/>
    </w:pPr>
  </w:style>
  <w:style w:type="paragraph" w:customStyle="1" w:styleId="afc">
    <w:name w:val="Знак Знак Знак"/>
    <w:basedOn w:val="a"/>
    <w:autoRedefine/>
    <w:qFormat/>
    <w:pPr>
      <w:widowControl/>
      <w:autoSpaceDE/>
      <w:autoSpaceDN/>
      <w:adjustRightInd/>
      <w:spacing w:after="160" w:line="240" w:lineRule="exact"/>
      <w:ind w:left="360"/>
    </w:pPr>
    <w:rPr>
      <w:sz w:val="28"/>
      <w:szCs w:val="28"/>
      <w:lang w:val="en-US" w:eastAsia="en-US"/>
    </w:rPr>
  </w:style>
  <w:style w:type="paragraph" w:customStyle="1" w:styleId="12">
    <w:name w:val="Знак1"/>
    <w:basedOn w:val="a"/>
    <w:autoRedefine/>
    <w:qFormat/>
    <w:pPr>
      <w:widowControl/>
      <w:tabs>
        <w:tab w:val="left" w:pos="1419"/>
      </w:tabs>
      <w:autoSpaceDE/>
      <w:autoSpaceDN/>
      <w:adjustRightInd/>
      <w:spacing w:after="160" w:line="240" w:lineRule="exact"/>
      <w:jc w:val="both"/>
    </w:pPr>
    <w:rPr>
      <w:sz w:val="28"/>
      <w:szCs w:val="28"/>
      <w:lang w:val="en-US" w:eastAsia="en-US"/>
    </w:rPr>
  </w:style>
  <w:style w:type="paragraph" w:customStyle="1" w:styleId="25">
    <w:name w:val="заголовок 2"/>
    <w:basedOn w:val="a"/>
    <w:next w:val="a"/>
    <w:qFormat/>
    <w:pPr>
      <w:keepNext/>
      <w:widowControl/>
      <w:autoSpaceDE/>
      <w:autoSpaceDN/>
      <w:adjustRightInd/>
      <w:spacing w:line="240" w:lineRule="exact"/>
      <w:ind w:firstLine="6237"/>
    </w:pPr>
    <w:rPr>
      <w:sz w:val="32"/>
      <w:lang w:val="en-US"/>
    </w:rPr>
  </w:style>
  <w:style w:type="paragraph" w:customStyle="1" w:styleId="6">
    <w:name w:val="заголовок 6"/>
    <w:basedOn w:val="a"/>
    <w:next w:val="a"/>
    <w:qFormat/>
    <w:pPr>
      <w:keepNext/>
      <w:widowControl/>
      <w:autoSpaceDE/>
      <w:autoSpaceDN/>
      <w:adjustRightInd/>
      <w:jc w:val="center"/>
    </w:pPr>
    <w:rPr>
      <w:sz w:val="28"/>
    </w:rPr>
  </w:style>
  <w:style w:type="paragraph" w:customStyle="1" w:styleId="point">
    <w:name w:val="point"/>
    <w:basedOn w:val="a"/>
    <w:qFormat/>
    <w:pPr>
      <w:widowControl/>
      <w:autoSpaceDE/>
      <w:autoSpaceDN/>
      <w:adjustRightInd/>
      <w:ind w:firstLine="567"/>
      <w:jc w:val="both"/>
    </w:pPr>
    <w:rPr>
      <w:sz w:val="24"/>
      <w:szCs w:val="24"/>
    </w:rPr>
  </w:style>
  <w:style w:type="paragraph" w:customStyle="1" w:styleId="underpoint">
    <w:name w:val="underpoint"/>
    <w:basedOn w:val="a"/>
    <w:qFormat/>
    <w:pPr>
      <w:widowControl/>
      <w:autoSpaceDE/>
      <w:autoSpaceDN/>
      <w:adjustRightInd/>
      <w:ind w:firstLine="567"/>
      <w:jc w:val="both"/>
    </w:pPr>
    <w:rPr>
      <w:sz w:val="24"/>
      <w:szCs w:val="24"/>
    </w:rPr>
  </w:style>
  <w:style w:type="paragraph" w:customStyle="1" w:styleId="cap1">
    <w:name w:val="cap1"/>
    <w:basedOn w:val="a"/>
    <w:qFormat/>
    <w:pPr>
      <w:widowControl/>
      <w:autoSpaceDE/>
      <w:autoSpaceDN/>
      <w:adjustRightInd/>
    </w:pPr>
    <w:rPr>
      <w:sz w:val="22"/>
      <w:szCs w:val="22"/>
    </w:rPr>
  </w:style>
  <w:style w:type="paragraph" w:customStyle="1" w:styleId="newncpi">
    <w:name w:val="newncpi"/>
    <w:basedOn w:val="a"/>
    <w:qFormat/>
    <w:pPr>
      <w:widowControl/>
      <w:autoSpaceDE/>
      <w:autoSpaceDN/>
      <w:adjustRightInd/>
      <w:ind w:firstLine="567"/>
      <w:jc w:val="both"/>
    </w:pPr>
    <w:rPr>
      <w:sz w:val="24"/>
      <w:szCs w:val="24"/>
    </w:rPr>
  </w:style>
  <w:style w:type="paragraph" w:customStyle="1" w:styleId="consplusnormal0">
    <w:name w:val="consplusnormal"/>
    <w:basedOn w:val="a"/>
    <w:qFormat/>
    <w:pPr>
      <w:widowControl/>
      <w:adjustRightInd/>
      <w:ind w:firstLine="720"/>
    </w:pPr>
    <w:rPr>
      <w:rFonts w:ascii="Arial" w:hAnsi="Arial" w:cs="Arial"/>
    </w:rPr>
  </w:style>
  <w:style w:type="character" w:customStyle="1" w:styleId="apple-converted-space">
    <w:name w:val="apple-converted-space"/>
    <w:qFormat/>
  </w:style>
  <w:style w:type="character" w:customStyle="1" w:styleId="13">
    <w:name w:val="Текст сноски Знак1"/>
    <w:uiPriority w:val="99"/>
    <w:semiHidden/>
    <w:qFormat/>
    <w:rPr>
      <w:lang w:val="ru-RU" w:eastAsia="ru-RU"/>
    </w:rPr>
  </w:style>
  <w:style w:type="character" w:customStyle="1" w:styleId="14">
    <w:name w:val="Знак Знак1"/>
    <w:semiHidden/>
    <w:qFormat/>
    <w:locked/>
    <w:rPr>
      <w:sz w:val="24"/>
      <w:szCs w:val="24"/>
      <w:lang w:val="ru-RU" w:eastAsia="ru-RU" w:bidi="ar-SA"/>
    </w:rPr>
  </w:style>
  <w:style w:type="paragraph" w:styleId="afd">
    <w:name w:val="No Spacing"/>
    <w:uiPriority w:val="1"/>
    <w:qFormat/>
    <w:pPr>
      <w:widowControl w:val="0"/>
      <w:autoSpaceDE w:val="0"/>
      <w:autoSpaceDN w:val="0"/>
      <w:adjustRightInd w:val="0"/>
    </w:pPr>
  </w:style>
  <w:style w:type="character" w:customStyle="1" w:styleId="word-wrapper">
    <w:name w:val="word-wrapper"/>
    <w:qFormat/>
  </w:style>
  <w:style w:type="paragraph" w:customStyle="1" w:styleId="p-normal">
    <w:name w:val="p-normal"/>
    <w:basedOn w:val="a"/>
    <w:qFormat/>
    <w:pPr>
      <w:widowControl/>
      <w:autoSpaceDE/>
      <w:autoSpaceDN/>
      <w:adjustRightInd/>
      <w:spacing w:before="100" w:beforeAutospacing="1" w:after="100" w:afterAutospacing="1"/>
    </w:pPr>
    <w:rPr>
      <w:sz w:val="24"/>
      <w:szCs w:val="24"/>
      <w:lang w:val="en-US" w:eastAsia="en-US"/>
    </w:rPr>
  </w:style>
  <w:style w:type="character" w:customStyle="1" w:styleId="fake-non-breaking-space">
    <w:name w:val="fake-non-breaking-space"/>
    <w:qFormat/>
  </w:style>
  <w:style w:type="paragraph" w:styleId="afe">
    <w:name w:val="List Paragraph"/>
    <w:basedOn w:val="a"/>
    <w:uiPriority w:val="34"/>
    <w:qFormat/>
    <w:pPr>
      <w:widowControl/>
      <w:autoSpaceDE/>
      <w:autoSpaceDN/>
      <w:adjustRightInd/>
      <w:ind w:left="720"/>
      <w:contextualSpacing/>
    </w:pPr>
  </w:style>
  <w:style w:type="character" w:customStyle="1" w:styleId="ab">
    <w:name w:val="Текст примечания Знак"/>
    <w:basedOn w:val="a0"/>
    <w:link w:val="aa"/>
    <w:qFormat/>
    <w:rPr>
      <w:lang w:val="ru-RU" w:eastAsia="ru-RU"/>
    </w:rPr>
  </w:style>
  <w:style w:type="character" w:customStyle="1" w:styleId="ad">
    <w:name w:val="Тема примечания Знак"/>
    <w:basedOn w:val="ab"/>
    <w:link w:val="ac"/>
    <w:qFormat/>
    <w:rPr>
      <w:b/>
      <w:bCs/>
      <w:lang w:val="ru-RU" w:eastAsia="ru-RU"/>
    </w:rPr>
  </w:style>
  <w:style w:type="paragraph" w:customStyle="1" w:styleId="15">
    <w:name w:val="Название1"/>
    <w:basedOn w:val="a"/>
    <w:pPr>
      <w:widowControl/>
      <w:autoSpaceDE/>
      <w:autoSpaceDN/>
      <w:adjustRightInd/>
      <w:spacing w:before="240" w:after="240"/>
      <w:ind w:right="2268"/>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658779">
      <w:bodyDiv w:val="1"/>
      <w:marLeft w:val="0"/>
      <w:marRight w:val="0"/>
      <w:marTop w:val="0"/>
      <w:marBottom w:val="0"/>
      <w:divBdr>
        <w:top w:val="none" w:sz="0" w:space="0" w:color="auto"/>
        <w:left w:val="none" w:sz="0" w:space="0" w:color="auto"/>
        <w:bottom w:val="none" w:sz="0" w:space="0" w:color="auto"/>
        <w:right w:val="none" w:sz="0" w:space="0" w:color="auto"/>
      </w:divBdr>
    </w:div>
    <w:div w:id="2108497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12458-94D9-4AE2-BD44-E14582A1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 переводе художественных почто</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переводе художественных почто</dc:title>
  <dc:creator>Калинина</dc:creator>
  <cp:lastModifiedBy>Кашкан Ю.М.</cp:lastModifiedBy>
  <cp:revision>2</cp:revision>
  <cp:lastPrinted>2025-12-30T08:35:00Z</cp:lastPrinted>
  <dcterms:created xsi:type="dcterms:W3CDTF">2026-03-13T06:21:00Z</dcterms:created>
  <dcterms:modified xsi:type="dcterms:W3CDTF">2026-03-13T06:21:00Z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0E02CBE2D962422EB64C979779CE0B79_13</vt:lpwstr>
  </property>
</Properties>
</file>