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240" w:after="240"/>
        <w:jc w:val="center"/>
        <w:rPr>
          <w:sz w:val="30"/>
          <w:szCs w:val="30"/>
          <w:lang w:val="ru-RU"/>
        </w:rPr>
      </w:pPr>
      <w:bookmarkStart w:id="0" w:name="_GoBack"/>
      <w:bookmarkEnd w:id="0"/>
      <w:r>
        <w:rPr>
          <w:b/>
          <w:bCs/>
          <w:sz w:val="30"/>
          <w:szCs w:val="30"/>
          <w:lang w:val="ru-RU"/>
        </w:rPr>
        <w:t>ПЕРЕЧЕНЬ</w:t>
      </w:r>
      <w:r>
        <w:rPr>
          <w:sz w:val="30"/>
          <w:szCs w:val="30"/>
          <w:lang w:val="ru-RU"/>
        </w:rPr>
        <w:br/>
      </w:r>
      <w:r>
        <w:rPr>
          <w:b/>
          <w:bCs/>
          <w:sz w:val="30"/>
          <w:szCs w:val="30"/>
          <w:lang w:val="ru-RU"/>
        </w:rPr>
        <w:t>мероприятий в</w:t>
      </w:r>
      <w:r>
        <w:rPr>
          <w:b/>
          <w:bCs/>
          <w:sz w:val="30"/>
          <w:szCs w:val="30"/>
        </w:rPr>
        <w:t> </w:t>
      </w:r>
      <w:r>
        <w:rPr>
          <w:b/>
          <w:bCs/>
          <w:sz w:val="30"/>
          <w:szCs w:val="30"/>
          <w:lang w:val="ru-RU"/>
        </w:rPr>
        <w:t>сфере цифрового развития</w:t>
      </w:r>
    </w:p>
    <w:p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Разработка цифровых платформ 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(или) информационных систем, носящих общенациональный либо отраслевой системообразующий характер, реализация которых позволяет создать новый технологический бизнес-процесс 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(или) обеспечить появление новых знаний, за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исключением мероприятий в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сфере цифрового развития, указанных в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пункте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4 настоящего приложения.</w:t>
      </w:r>
    </w:p>
    <w:p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Мероприятия, имеющие объем финансирования за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весь срок </w:t>
      </w:r>
      <w:r>
        <w:rPr>
          <w:sz w:val="28"/>
          <w:szCs w:val="28"/>
          <w:lang w:val="ru-RU"/>
        </w:rPr>
        <w:br/>
        <w:t>их реализации более 30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тысяч базовых величин, 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также мероприятия, инициируемые областными исполнительными комитетами (Минским городским исполнительным комитетом) для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решения задач региона, имеющие объем финансирования менее 30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тысяч базовых величин, направленные на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разработку 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внедрение в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деятельность государственных органов 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организаций информационных ресурсов, сетей, систем, цифровых платформ, </w:t>
      </w:r>
      <w:r>
        <w:rPr>
          <w:sz w:val="28"/>
          <w:szCs w:val="28"/>
          <w:lang w:val="ru-RU"/>
        </w:rPr>
        <w:br/>
        <w:t>их модернизацию (внесение конструктивных изменений в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программные 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(или) программно-технические средства) 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(или) интеграцию с иными информационными ресурсами, системами, цифровыми платформами 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сетями, за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исключением мероприятий по:</w:t>
      </w:r>
    </w:p>
    <w:p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приобретению, разработке (доработке, модернизации), вводу в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эксплуатацию информационных систем, автоматизирующих осуществление сопутствующих функций организации, включая бухгалтерский учет, документооборот, информирование (интернет-сайты, порталы), кроме мероприятий, инициируемых областными исполнительными комитетами (Минским городским исполнительным комитетом) для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решения задач региона;</w:t>
      </w:r>
    </w:p>
    <w:p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использованию вычислительных ресурсов 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программного обеспечения по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технологии облачных вычислений, включая доработку цифровых платформ, информационных ресурсов 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систем для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обеспечения их переноса на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облачную платформу 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работы по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их переносу;</w:t>
      </w:r>
    </w:p>
    <w:p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актуализации информационных ресурсов;</w:t>
      </w:r>
    </w:p>
    <w:p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приобретению, разработке (доработке, модернизации), вводу в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эксплуатацию систем видеонаблюдения, видеофиксации 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видео-конференц-связи.</w:t>
      </w:r>
    </w:p>
    <w:p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Приобретение программного обеспечения, комплексов программно-технических средств, прав на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объекты интеллектуальной собственности, телекоммуникационного 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компьютерного оборудования, ориентировочная стоимость годовой потребности закупки которых составляет более 30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тысяч базовых величин (для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мероприятий, инициируемых областными исполнительными комитетами (Минским городским исполнительным комитетом) для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решения задач региона, объем финансирования может быть меньше установленного), за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исключением мероприятий, связанных с:</w:t>
      </w:r>
    </w:p>
    <w:p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техническим обслуживанием, ремонтом, заменой вышедшего из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строя </w:t>
      </w:r>
      <w:r>
        <w:rPr>
          <w:sz w:val="28"/>
          <w:szCs w:val="28"/>
          <w:lang w:val="ru-RU"/>
        </w:rPr>
        <w:br/>
        <w:t>в процессе эксплуатации телекоммуникационного* и компьютерного оборудования;</w:t>
      </w:r>
    </w:p>
    <w:p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развитием государственной системы правовой информации Республики Беларусь, распространением (предоставлением) государственных информационно-правовых ресурсов;</w:t>
      </w:r>
    </w:p>
    <w:p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управлением технологическим оборудованием для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обеспечения </w:t>
      </w:r>
      <w:r>
        <w:rPr>
          <w:sz w:val="28"/>
          <w:szCs w:val="28"/>
          <w:lang w:val="ru-RU"/>
        </w:rPr>
        <w:br/>
        <w:t>его функционирования (кроме мероприятий, инициируемых областными исполнительными комитетами (Минским городским исполнительным комитетом) для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решения задач региона);</w:t>
      </w:r>
    </w:p>
    <w:p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производством 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трансляцией теле- 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радиопередач;</w:t>
      </w:r>
    </w:p>
    <w:p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осуществлением операторами 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поставщиками услуг электросвязи деятельности по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развитию сетей электросвязи;</w:t>
      </w:r>
    </w:p>
    <w:p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развитием и использованием Государственной системы управления открытыми ключами проверки электронной цифровой подписи Республики Беларусь.</w:t>
      </w:r>
    </w:p>
    <w:p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Разработка, развитие 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внедрение информационных систем (ресурсов), цифровых платформ, финансируемых за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счет средств открытого акционерного общества «Банк развития Республики Беларусь», направленных на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решение задач Совета Министров Республики Беларусь.</w:t>
      </w:r>
    </w:p>
    <w:p>
      <w:pPr>
        <w:spacing w:after="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>
      <w:pPr>
        <w:spacing w:after="240"/>
        <w:ind w:firstLine="566"/>
        <w:jc w:val="both"/>
        <w:rPr>
          <w:szCs w:val="28"/>
          <w:lang w:val="ru-RU"/>
        </w:rPr>
      </w:pPr>
      <w:r>
        <w:rPr>
          <w:szCs w:val="28"/>
          <w:lang w:val="ru-RU"/>
        </w:rPr>
        <w:t>* Под телекоммуникационным оборудованием понимаются технические и</w:t>
      </w:r>
      <w:r>
        <w:rPr>
          <w:szCs w:val="28"/>
        </w:rPr>
        <w:t> </w:t>
      </w:r>
      <w:r>
        <w:rPr>
          <w:szCs w:val="28"/>
          <w:lang w:val="ru-RU"/>
        </w:rPr>
        <w:t>программные устройства и</w:t>
      </w:r>
      <w:r>
        <w:rPr>
          <w:szCs w:val="28"/>
        </w:rPr>
        <w:t> </w:t>
      </w:r>
      <w:r>
        <w:rPr>
          <w:szCs w:val="28"/>
          <w:lang w:val="ru-RU"/>
        </w:rPr>
        <w:t>(или) средства, используемые для</w:t>
      </w:r>
      <w:r>
        <w:rPr>
          <w:szCs w:val="28"/>
        </w:rPr>
        <w:t> </w:t>
      </w:r>
      <w:r>
        <w:rPr>
          <w:szCs w:val="28"/>
          <w:lang w:val="ru-RU"/>
        </w:rPr>
        <w:t>формирования, обработки, хранения, передачи или приема сообщений электросвязи, а</w:t>
      </w:r>
      <w:r>
        <w:rPr>
          <w:szCs w:val="28"/>
        </w:rPr>
        <w:t> </w:t>
      </w:r>
      <w:r>
        <w:rPr>
          <w:szCs w:val="28"/>
          <w:lang w:val="ru-RU"/>
        </w:rPr>
        <w:t>также иные технические и</w:t>
      </w:r>
      <w:r>
        <w:rPr>
          <w:szCs w:val="28"/>
        </w:rPr>
        <w:t> </w:t>
      </w:r>
      <w:r>
        <w:rPr>
          <w:szCs w:val="28"/>
          <w:lang w:val="ru-RU"/>
        </w:rPr>
        <w:t>программные средства, используемые при оказании услуг электросвязи либо в</w:t>
      </w:r>
      <w:r>
        <w:rPr>
          <w:szCs w:val="28"/>
        </w:rPr>
        <w:t> </w:t>
      </w:r>
      <w:r>
        <w:rPr>
          <w:szCs w:val="28"/>
          <w:lang w:val="ru-RU"/>
        </w:rPr>
        <w:t>целях обеспечения функционирования сетей электросвязи.</w:t>
      </w:r>
    </w:p>
    <w:sectPr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790DB-D3FC-4CC0-84CD-C1B6A62D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 Евгений Александрович</dc:creator>
  <cp:keywords/>
  <dc:description/>
  <cp:lastModifiedBy>Бурак Евгений Александрович</cp:lastModifiedBy>
  <cp:revision>2</cp:revision>
  <dcterms:created xsi:type="dcterms:W3CDTF">2024-05-07T05:42:00Z</dcterms:created>
  <dcterms:modified xsi:type="dcterms:W3CDTF">2024-05-07T05:42:00Z</dcterms:modified>
  <cp:category/>
</cp:coreProperties>
</file>