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ПОЯСНИТЕЛЬНАЯ ЗАПИСКА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к профессиональному стандарту</w:t>
      </w:r>
    </w:p>
    <w:p>
      <w:pPr>
        <w:pStyle w:val="ConsPlusNonformat"/>
        <w:spacing w:line="276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Техническая эксплуатация радиоэлектронных средств и сетей телекоммуникаций</w:t>
      </w:r>
      <w:r>
        <w:rPr>
          <w:rFonts w:eastAsia="Calibri"/>
          <w:sz w:val="30"/>
          <w:szCs w:val="30"/>
        </w:rPr>
        <w:t>»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sz w:val="30"/>
          <w:szCs w:val="30"/>
        </w:rPr>
      </w:pPr>
    </w:p>
    <w:p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Общие сведения</w:t>
      </w:r>
    </w:p>
    <w:p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Разработчиком профессионального стандарта «Техническая эксплуатация радиоэлектронных средств и сетей телекоммуникаций» является учреждение образования «Белорусская государственная академия связи».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Секторального совета квалификаций: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Секторальный совет квалификаций в сфере информационно-коммуникационных технологий и связи при Министерстве связи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информатизации.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Предприятия, на базе которых проводились исследования: РУП</w:t>
      </w:r>
      <w:r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«</w:t>
      </w:r>
      <w:proofErr w:type="spellStart"/>
      <w:r>
        <w:rPr>
          <w:color w:val="000000"/>
          <w:sz w:val="30"/>
          <w:szCs w:val="30"/>
        </w:rPr>
        <w:t>Белтелеком</w:t>
      </w:r>
      <w:proofErr w:type="spellEnd"/>
      <w:r>
        <w:rPr>
          <w:color w:val="000000"/>
          <w:sz w:val="30"/>
          <w:szCs w:val="30"/>
        </w:rPr>
        <w:t xml:space="preserve">», СООО «Мобильные </w:t>
      </w:r>
      <w:proofErr w:type="spellStart"/>
      <w:r>
        <w:rPr>
          <w:color w:val="000000"/>
          <w:sz w:val="30"/>
          <w:szCs w:val="30"/>
        </w:rPr>
        <w:t>ТелеСистемы</w:t>
      </w:r>
      <w:proofErr w:type="spellEnd"/>
      <w:r>
        <w:rPr>
          <w:color w:val="000000"/>
          <w:sz w:val="30"/>
          <w:szCs w:val="30"/>
        </w:rPr>
        <w:t>», ЗАО «</w:t>
      </w:r>
      <w:proofErr w:type="spellStart"/>
      <w:r>
        <w:rPr>
          <w:color w:val="000000"/>
          <w:sz w:val="30"/>
          <w:szCs w:val="30"/>
        </w:rPr>
        <w:t>БеСТ</w:t>
      </w:r>
      <w:proofErr w:type="spellEnd"/>
      <w:r>
        <w:rPr>
          <w:color w:val="000000"/>
          <w:sz w:val="30"/>
          <w:szCs w:val="30"/>
        </w:rPr>
        <w:t>».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Настоящий профессиональный стандарт может применяться в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организациях, осуществляющих следующие виды экономической деятельности: деятельность в области телекоммуникаций (код по ОКЭД – 61), а именно: деятельность в области проводной связи (код по ОКЭД – 61100); деятельность в области беспроводной связи (код по ОКЭД – 61200); прочая деятельность в области телекоммуникаций (код по ОКЭД – 61900).</w:t>
      </w:r>
    </w:p>
    <w:p>
      <w:pPr>
        <w:pStyle w:val="af0"/>
        <w:spacing w:after="0"/>
        <w:ind w:firstLine="709"/>
        <w:rPr>
          <w:sz w:val="30"/>
          <w:szCs w:val="30"/>
        </w:rPr>
      </w:pPr>
      <w:bookmarkStart w:id="1" w:name="Par9003"/>
      <w:bookmarkEnd w:id="1"/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</w:t>
      </w:r>
      <w:r>
        <w:rPr>
          <w:b/>
          <w:bCs/>
          <w:sz w:val="30"/>
          <w:szCs w:val="30"/>
        </w:rPr>
        <w:tab/>
        <w:t>Необходимость разработки профессионального стандарта для конкретного сектора экономики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2.1 Проект профессионального стандарта «Техническая эксплуатация радиоэлектронных средств и сетей телекоммуникаций» разработан в соответствии с решением Научно-технического совета Министерства связи и информатизации Республики Беларусь (протокол № 3 от 5 апреля 2023 г.).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 Сети телекоммуникаций (СТК) и обеспечивающие их работу радиоэлектронные средства (РЭС) являются ключевыми инфраструктурными элементами большинства существующих систем подвижной цифровой связи, магистральных линий передачи информации, центров обработки данных и иных технических систем, </w:t>
      </w:r>
      <w:r>
        <w:rPr>
          <w:sz w:val="30"/>
          <w:szCs w:val="30"/>
        </w:rPr>
        <w:lastRenderedPageBreak/>
        <w:t>занимающихся приемом, агрегацией, обработкой, хранением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передачей информационных потоков.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Разработка профессионального стандарта «Техническая эксплуатация радиоэлектронных средств и сетей телекоммуникаций» имеет важное значение для сектора информационных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коммуникационных технологий (ИКТ) и телекоммуникаций. </w:t>
      </w:r>
      <w:proofErr w:type="spellStart"/>
      <w:r>
        <w:rPr>
          <w:sz w:val="30"/>
          <w:szCs w:val="30"/>
        </w:rPr>
        <w:t>Профстандарт</w:t>
      </w:r>
      <w:proofErr w:type="spellEnd"/>
      <w:r>
        <w:rPr>
          <w:sz w:val="30"/>
          <w:szCs w:val="30"/>
        </w:rPr>
        <w:t xml:space="preserve"> способствует повышению профессионализма и качества образования, унификации компетенций, снижению рисков и ошибок в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работе, содействию инновациям и развитию технологий. Он также поддерживает регулирование в отрасли и мобильность рабочей силы, способствует повышению доверия к отрасли со стороны клиентов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партнеров. Разработка и внедрение профессионального стандарта в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данной области способствует устойчивому развитию сектора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повышению его конкурентоспособности.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2.3 Наименование вида трудовой деятельности: Техническая эксплуатация радиоэлектронных средств и сетей телекоммуникаций</w:t>
      </w:r>
      <w:r>
        <w:rPr>
          <w:color w:val="000000"/>
          <w:sz w:val="30"/>
          <w:szCs w:val="30"/>
        </w:rPr>
        <w:t xml:space="preserve">.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Основная цель вида трудовой деятельности – обеспечение надежной, эффективной и безопасной работы радиоэлектронных средств и сетей связи. Специалисты в этой области занимаются настройкой, управлением и обслуживанием сетей телекоммуникаций, включая проводные и беспроводные сети, оборудование и инфраструктуру. Они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отвечают за обнаружение и устранение сбоев в сетях связи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радиоэлектронных системах, </w:t>
      </w:r>
      <w:proofErr w:type="spellStart"/>
      <w:r>
        <w:rPr>
          <w:sz w:val="30"/>
          <w:szCs w:val="30"/>
        </w:rPr>
        <w:t>минимизируя</w:t>
      </w:r>
      <w:proofErr w:type="spellEnd"/>
      <w:r>
        <w:rPr>
          <w:sz w:val="30"/>
          <w:szCs w:val="30"/>
        </w:rPr>
        <w:t xml:space="preserve"> перерывы в работе, 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также занимаются оптимизацией сетей и оборудования, внедрением новых технологий для улучшения производительности и качества связи.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 Профессиональный стандарт </w:t>
      </w:r>
      <w:r>
        <w:rPr>
          <w:rFonts w:eastAsia="Times New Roman"/>
          <w:sz w:val="30"/>
          <w:szCs w:val="30"/>
        </w:rPr>
        <w:t>«</w:t>
      </w:r>
      <w:r>
        <w:rPr>
          <w:sz w:val="30"/>
          <w:szCs w:val="30"/>
        </w:rPr>
        <w:t xml:space="preserve">Техническая эксплуатация радиоэлектронных средств и сетей телекоммуникаций» охватывает перечень профессий рабочих и должностей служащих: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электромонтер линейных сооружений электросвязи и линий передачи данных (3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разряд), 2 уровень квалификации;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электромонтер линейных сооружений электросвязи и линий передачи данных (4-5 разряды), 3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уровень квалификации;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 электромонтер линейных сооружений электросвязи и линий передачи данных (6-7 разряды), 4 уровень квалификации;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 электромонтер подземных сооружений и коммуникаций связи (3 разряд), выпуск 54 ЕТКС, 2 уровень квалификации;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 электромонтер подземных сооружений и коммуникаций связи </w:t>
      </w:r>
      <w:r>
        <w:rPr>
          <w:sz w:val="30"/>
          <w:szCs w:val="30"/>
        </w:rPr>
        <w:br/>
        <w:t>(4-5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разряд), выпуск 54 ЕТКС, 3 уровень квалификации;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электромонтер станционного оборудования ядра сети и сети доступа (3 разряд), 2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уровень квалификации;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 электромонтер станционного оборудования ядра сети и сети доступа (4-5 разряды), выпуск 54 ЕТКС, 3 уровень квалификации;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электромонтер станционного оборудования ядра сети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сети доступа (6-7 разряды), 4 уровень квалификации.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Профессии рабочих, должности служащих сформированы на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основе Секторальной рамки квалификаций в сфере информационно-коммуникационных технологий и связи при Министерстве связи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информатизации Республики Беларусь. 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2.5 Спрос на работников в отрасли по включенным в ПС профессиям и должностям сохраняется на высоком уровне.</w:t>
      </w: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</w:t>
      </w:r>
      <w:r>
        <w:rPr>
          <w:b/>
          <w:sz w:val="30"/>
          <w:szCs w:val="30"/>
        </w:rPr>
        <w:tab/>
        <w:t>Основные тенденции и задачи развития данного вида трудовой деятельности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Техническая эксплуатация радиоэлектронных средств и сетей телекоммуникаций – это область трудовой деятельности, которая имеет ряд ключевых тенденций и задач развития в современном мире. 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Одной из главных тенденций в этой области является постоянное обновление и развитие технологий радиоэлектроники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телекоммуникаций, что включает в себя разработку новых устройств, протоколов связи и сетевых решений.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Традиционные сети телекоммуникаций переходят на протокол IP. Этот процесс имеет ряд преимуществ, таких как унификация сетей, гибкость и масштабируемость, возможность интеграции с сетью Интернет, снижение затрат, высокое качество обслуживания.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Специалисты по технической эксплуатации радиоэлектронных средств и сетей телекоммуникаций должны следить за этими тенденциями и активно обновлять свои знания и навыки, чтобы эффективно решать новые задачи в этой быстро развивающейся области.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Для всех профессий и должностей по сравнению с содержанием квалификационных справочников трудовые функции разработаны на основе функционального анализа деятельности работников </w:t>
      </w:r>
      <w:r>
        <w:rPr>
          <w:sz w:val="30"/>
          <w:szCs w:val="30"/>
        </w:rPr>
        <w:lastRenderedPageBreak/>
        <w:t>в ведущих телекоммуникационных организациях Республики Беларусь. Трудовые функции осовременены и устанавливают к работникам как базовые, так и инновационные требования, отражающие развитие телекоммуникационных технологий.</w:t>
      </w:r>
    </w:p>
    <w:p>
      <w:pPr>
        <w:pStyle w:val="af0"/>
        <w:spacing w:after="0"/>
        <w:ind w:firstLine="709"/>
        <w:rPr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</w:t>
      </w:r>
      <w:r>
        <w:rPr>
          <w:b/>
          <w:sz w:val="30"/>
          <w:szCs w:val="30"/>
        </w:rPr>
        <w:tab/>
        <w:t xml:space="preserve">Пояснения к содержанию отдельных разделов профессионального стандарта </w:t>
      </w:r>
    </w:p>
    <w:p>
      <w:pPr>
        <w:pStyle w:val="af0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К специфической терминологии, применяемой в профессиональном стандарте, относятся следующие определения. 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Сеть доступа – это тип телекоммуникационной сети, которая соединяет абонентов с их непосредственным поставщиком услуг.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Терминальное оборудование – это оборудование, которое выступает в качестве источника или места назначения в цифровой связи и способно преобразовывать информацию в сигналы, а также преобразовывать полученные сигналы.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качестве терминального оборудования пользователя могут выступать самые разнообразные устройства: телефонный аппарат, телекс, факс-аппарат, таксофон, </w:t>
      </w:r>
      <w:proofErr w:type="spellStart"/>
      <w:r>
        <w:rPr>
          <w:sz w:val="30"/>
          <w:szCs w:val="30"/>
        </w:rPr>
        <w:t>skype</w:t>
      </w:r>
      <w:proofErr w:type="spellEnd"/>
      <w:r>
        <w:rPr>
          <w:sz w:val="30"/>
          <w:szCs w:val="30"/>
        </w:rPr>
        <w:t>-телефон, SIP-телефон и т.д.</w:t>
      </w:r>
    </w:p>
    <w:p>
      <w:pPr>
        <w:pStyle w:val="af0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Транспортная сеть связи – это совокупность всех ресурсов, выполняющих функции транспортирования в телекоммуникационных сетях. Она включает не только системы передачи, но и относящиеся к ним средства контроля, оперативного переключения, резервирования, управления.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E1C"/>
    <w:multiLevelType w:val="hybridMultilevel"/>
    <w:tmpl w:val="08E221D4"/>
    <w:lvl w:ilvl="0" w:tplc="CA34A6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3EAD"/>
    <w:multiLevelType w:val="hybridMultilevel"/>
    <w:tmpl w:val="D29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85D8F"/>
    <w:multiLevelType w:val="hybridMultilevel"/>
    <w:tmpl w:val="79B6A6FE"/>
    <w:lvl w:ilvl="0" w:tplc="97E84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table" w:customStyle="1" w:styleId="1">
    <w:name w:val="Сетка таблицы1"/>
    <w:basedOn w:val="a2"/>
    <w:next w:val="a5"/>
    <w:uiPriority w:val="3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Pr>
      <w:vertAlign w:val="superscript"/>
    </w:rPr>
  </w:style>
  <w:style w:type="table" w:styleId="a5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Pr>
      <w:sz w:val="16"/>
      <w:szCs w:val="16"/>
    </w:rPr>
  </w:style>
  <w:style w:type="paragraph" w:customStyle="1" w:styleId="10">
    <w:name w:val="Текст примечания1"/>
    <w:basedOn w:val="a0"/>
    <w:next w:val="a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10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a">
    <w:name w:val="annotation text"/>
    <w:basedOn w:val="a0"/>
    <w:link w:val="1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f"/>
    <w:rPr>
      <w:rFonts w:ascii="Times New Roman" w:eastAsia="MS Mincho" w:hAnsi="Times New Roman" w:cs="Times New Roman"/>
      <w:szCs w:val="24"/>
      <w:lang w:val="en-US"/>
    </w:rPr>
  </w:style>
  <w:style w:type="paragraph" w:styleId="af">
    <w:name w:val="Body Text"/>
    <w:basedOn w:val="a0"/>
    <w:link w:val="ae"/>
    <w:qFormat/>
    <w:pPr>
      <w:spacing w:after="0" w:line="240" w:lineRule="auto"/>
    </w:pPr>
    <w:rPr>
      <w:rFonts w:eastAsia="MS Mincho"/>
      <w:sz w:val="20"/>
      <w:lang w:val="en-US"/>
    </w:rPr>
  </w:style>
  <w:style w:type="character" w:customStyle="1" w:styleId="12">
    <w:name w:val="Основной текст Знак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СМР"/>
    <w:basedOn w:val="a0"/>
    <w:qFormat/>
    <w:pPr>
      <w:spacing w:after="120"/>
      <w:ind w:firstLine="720"/>
      <w:jc w:val="both"/>
    </w:pPr>
    <w:rPr>
      <w:rFonts w:eastAsia="Times New Roman"/>
      <w:bCs/>
      <w:lang w:eastAsia="ru-RU"/>
    </w:rPr>
  </w:style>
  <w:style w:type="paragraph" w:customStyle="1" w:styleId="a">
    <w:name w:val="спис"/>
    <w:basedOn w:val="af0"/>
    <w:qFormat/>
    <w:pPr>
      <w:numPr>
        <w:numId w:val="2"/>
      </w:numPr>
      <w:spacing w:line="240" w:lineRule="auto"/>
    </w:pPr>
  </w:style>
  <w:style w:type="character" w:customStyle="1" w:styleId="af1">
    <w:name w:val="СМР_Зам"/>
    <w:uiPriority w:val="1"/>
    <w:qFormat/>
    <w:rPr>
      <w:color w:val="00B050"/>
      <w:u w:val="single"/>
    </w:rPr>
  </w:style>
  <w:style w:type="character" w:styleId="af2">
    <w:name w:val="Hyperlink"/>
    <w:uiPriority w:val="99"/>
    <w:semiHidden/>
    <w:unhideWhenUsed/>
    <w:rPr>
      <w:color w:val="0000FF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table" w:customStyle="1" w:styleId="1">
    <w:name w:val="Сетка таблицы1"/>
    <w:basedOn w:val="a2"/>
    <w:next w:val="a5"/>
    <w:uiPriority w:val="3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Pr>
      <w:vertAlign w:val="superscript"/>
    </w:rPr>
  </w:style>
  <w:style w:type="table" w:styleId="a5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Pr>
      <w:sz w:val="16"/>
      <w:szCs w:val="16"/>
    </w:rPr>
  </w:style>
  <w:style w:type="paragraph" w:customStyle="1" w:styleId="10">
    <w:name w:val="Текст примечания1"/>
    <w:basedOn w:val="a0"/>
    <w:next w:val="a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10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a">
    <w:name w:val="annotation text"/>
    <w:basedOn w:val="a0"/>
    <w:link w:val="1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f"/>
    <w:rPr>
      <w:rFonts w:ascii="Times New Roman" w:eastAsia="MS Mincho" w:hAnsi="Times New Roman" w:cs="Times New Roman"/>
      <w:szCs w:val="24"/>
      <w:lang w:val="en-US"/>
    </w:rPr>
  </w:style>
  <w:style w:type="paragraph" w:styleId="af">
    <w:name w:val="Body Text"/>
    <w:basedOn w:val="a0"/>
    <w:link w:val="ae"/>
    <w:qFormat/>
    <w:pPr>
      <w:spacing w:after="0" w:line="240" w:lineRule="auto"/>
    </w:pPr>
    <w:rPr>
      <w:rFonts w:eastAsia="MS Mincho"/>
      <w:sz w:val="20"/>
      <w:lang w:val="en-US"/>
    </w:rPr>
  </w:style>
  <w:style w:type="character" w:customStyle="1" w:styleId="12">
    <w:name w:val="Основной текст Знак1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СМР"/>
    <w:basedOn w:val="a0"/>
    <w:qFormat/>
    <w:pPr>
      <w:spacing w:after="120"/>
      <w:ind w:firstLine="720"/>
      <w:jc w:val="both"/>
    </w:pPr>
    <w:rPr>
      <w:rFonts w:eastAsia="Times New Roman"/>
      <w:bCs/>
      <w:lang w:eastAsia="ru-RU"/>
    </w:rPr>
  </w:style>
  <w:style w:type="paragraph" w:customStyle="1" w:styleId="a">
    <w:name w:val="спис"/>
    <w:basedOn w:val="af0"/>
    <w:qFormat/>
    <w:pPr>
      <w:numPr>
        <w:numId w:val="2"/>
      </w:numPr>
      <w:spacing w:line="240" w:lineRule="auto"/>
    </w:pPr>
  </w:style>
  <w:style w:type="character" w:customStyle="1" w:styleId="af1">
    <w:name w:val="СМР_Зам"/>
    <w:uiPriority w:val="1"/>
    <w:qFormat/>
    <w:rPr>
      <w:color w:val="00B050"/>
      <w:u w:val="single"/>
    </w:rPr>
  </w:style>
  <w:style w:type="character" w:styleId="af2">
    <w:name w:val="Hyperlink"/>
    <w:uiPriority w:val="99"/>
    <w:semiHidden/>
    <w:unhideWhenUsed/>
    <w:rPr>
      <w:color w:val="0000FF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"БГАС"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Фолежинская</dc:creator>
  <cp:lastModifiedBy>Дяга Ирина Анатольевна</cp:lastModifiedBy>
  <cp:revision>2</cp:revision>
  <dcterms:created xsi:type="dcterms:W3CDTF">2023-09-20T12:01:00Z</dcterms:created>
  <dcterms:modified xsi:type="dcterms:W3CDTF">2023-09-20T12:01:00Z</dcterms:modified>
</cp:coreProperties>
</file>